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-1"/>
          <w:sz w:val="4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-1"/>
          <w:sz w:val="46"/>
          <w:shd w:fill="auto" w:val="clear"/>
        </w:rPr>
        <w:t xml:space="preserve">DÉBORA FERNANDES ROCHA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22 anos, Solteira</w:t>
      </w:r>
      <w:r>
        <w:rPr>
          <w:rFonts w:ascii="Libre Baskerville" w:hAnsi="Libre Baskerville" w:cs="Libre Baskerville" w:eastAsia="Libre Baskerville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Av. Dr. Paulo Souza Lima n° 51 Sol Nascente 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 Ibirité/MG</w:t>
      </w:r>
      <w:r>
        <w:rPr>
          <w:rFonts w:ascii="Libre Baskerville" w:hAnsi="Libre Baskerville" w:cs="Libre Baskerville" w:eastAsia="Libre Baskerville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Tel.: (31) 97561-7290</w:t>
      </w:r>
    </w:p>
    <w:p>
      <w:pPr>
        <w:spacing w:before="0" w:after="0" w:line="240"/>
        <w:ind w:right="0" w:left="0" w:firstLine="0"/>
        <w:jc w:val="left"/>
        <w:rPr>
          <w:rFonts w:ascii="Libre Baskerville" w:hAnsi="Libre Baskerville" w:cs="Libre Baskerville" w:eastAsia="Libre Baskerville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E-mail: deborafernandesrocha1@hotmail.com</w:t>
      </w:r>
      <w:r>
        <w:rPr>
          <w:rFonts w:ascii="Libre Baskerville" w:hAnsi="Libre Baskerville" w:cs="Libre Baskerville" w:eastAsia="Libre Baskerville"/>
          <w:color w:val="auto"/>
          <w:spacing w:val="0"/>
          <w:position w:val="0"/>
          <w:sz w:val="24"/>
          <w:shd w:fill="auto" w:val="clear"/>
        </w:rPr>
        <w:br/>
      </w:r>
    </w:p>
    <w:p>
      <w:pPr>
        <w:suppressAutoHyphens w:val="true"/>
        <w:spacing w:before="200" w:after="0" w:line="240"/>
        <w:ind w:right="0" w:left="-2" w:firstLine="0"/>
        <w:jc w:val="left"/>
        <w:rPr>
          <w:rFonts w:ascii="Verdana" w:hAnsi="Verdana" w:cs="Verdana" w:eastAsia="Verdana"/>
          <w:caps w:val="true"/>
          <w:color w:val="auto"/>
          <w:spacing w:val="10"/>
          <w:position w:val="-1"/>
          <w:sz w:val="21"/>
          <w:shd w:fill="auto" w:val="clear"/>
        </w:rPr>
      </w:pPr>
      <w:r>
        <w:rPr>
          <w:rFonts w:ascii="Libre Baskerville" w:hAnsi="Libre Baskerville" w:cs="Libre Baskerville" w:eastAsia="Libre Baskerville"/>
          <w:caps w:val="true"/>
          <w:color w:val="auto"/>
          <w:spacing w:val="10"/>
          <w:position w:val="-1"/>
          <w:sz w:val="21"/>
          <w:shd w:fill="auto" w:val="clear"/>
        </w:rPr>
        <w:br/>
      </w:r>
      <w:r>
        <w:rPr>
          <w:rFonts w:ascii="Verdana" w:hAnsi="Verdana" w:cs="Verdana" w:eastAsia="Verdana"/>
          <w:caps w:val="true"/>
          <w:color w:val="auto"/>
          <w:spacing w:val="10"/>
          <w:position w:val="-1"/>
          <w:sz w:val="21"/>
          <w:shd w:fill="auto" w:val="clear"/>
        </w:rPr>
        <w:t xml:space="preserve">FORMAÇÃO acadêmica</w:t>
      </w:r>
    </w:p>
    <w:p>
      <w:pPr>
        <w:suppressAutoHyphens w:val="true"/>
        <w:spacing w:before="200" w:after="0" w:line="240"/>
        <w:ind w:right="0" w:left="0" w:hanging="2"/>
        <w:jc w:val="left"/>
        <w:rPr>
          <w:rFonts w:ascii="Verdana" w:hAnsi="Verdana" w:cs="Verdana" w:eastAsia="Verdana"/>
          <w:caps w:val="true"/>
          <w:color w:val="auto"/>
          <w:spacing w:val="10"/>
          <w:position w:val="-1"/>
          <w:sz w:val="22"/>
          <w:shd w:fill="auto" w:val="clear"/>
        </w:rPr>
      </w:pPr>
      <w:r>
        <w:rPr>
          <w:rFonts w:ascii="Verdana" w:hAnsi="Verdana" w:cs="Verdana" w:eastAsia="Verdana"/>
          <w:caps w:val="true"/>
          <w:color w:val="auto"/>
          <w:spacing w:val="10"/>
          <w:position w:val="-1"/>
          <w:sz w:val="22"/>
          <w:shd w:fill="auto" w:val="clear"/>
        </w:rPr>
        <w:br/>
      </w:r>
    </w:p>
    <w:p>
      <w:pPr>
        <w:numPr>
          <w:ilvl w:val="0"/>
          <w:numId w:val="6"/>
        </w:numPr>
        <w:spacing w:before="0" w:after="120" w:line="240"/>
        <w:ind w:right="0" w:left="720" w:hanging="360"/>
        <w:jc w:val="left"/>
        <w:rPr>
          <w:rFonts w:ascii="Century Schoolbook" w:hAnsi="Century Schoolbook" w:cs="Century Schoolbook" w:eastAsia="Century Schoolbook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Ensino Médio Completo - Concluído em 2015</w:t>
      </w:r>
    </w:p>
    <w:p>
      <w:pPr>
        <w:numPr>
          <w:ilvl w:val="0"/>
          <w:numId w:val="6"/>
        </w:numPr>
        <w:spacing w:before="0" w:after="12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Curso Técnico de Enfermagem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Instituto Inovar Conclu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ído em 2018/1</w:t>
      </w:r>
    </w:p>
    <w:p>
      <w:pPr>
        <w:numPr>
          <w:ilvl w:val="0"/>
          <w:numId w:val="6"/>
        </w:numPr>
        <w:spacing w:before="0" w:after="12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Estágio realizado no Hospital Vitallis Barreiro - Carga Horária de 600 horas </w:t>
      </w:r>
    </w:p>
    <w:p>
      <w:pPr>
        <w:spacing w:before="0" w:after="120" w:line="240"/>
        <w:ind w:right="0" w:left="72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De Março á Agosto / 2018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        Setores: Pronto Atendimento, CTI, Clínica Médica, Bloco Cirúrgico, Clínica Cirúrgica.</w:t>
      </w:r>
    </w:p>
    <w:p>
      <w:pPr>
        <w:suppressAutoHyphens w:val="true"/>
        <w:spacing w:before="200" w:after="0" w:line="240"/>
        <w:ind w:right="0" w:left="0" w:hanging="2"/>
        <w:jc w:val="left"/>
        <w:rPr>
          <w:rFonts w:ascii="Verdana" w:hAnsi="Verdana" w:cs="Verdana" w:eastAsia="Verdana"/>
          <w:caps w:val="true"/>
          <w:color w:val="auto"/>
          <w:spacing w:val="10"/>
          <w:position w:val="-1"/>
          <w:sz w:val="22"/>
          <w:shd w:fill="auto" w:val="clear"/>
        </w:rPr>
      </w:pPr>
    </w:p>
    <w:p>
      <w:pPr>
        <w:suppressAutoHyphens w:val="true"/>
        <w:spacing w:before="200" w:after="0" w:line="240"/>
        <w:ind w:right="0" w:left="0" w:hanging="2"/>
        <w:jc w:val="left"/>
        <w:rPr>
          <w:rFonts w:ascii="Verdana" w:hAnsi="Verdana" w:cs="Verdana" w:eastAsia="Verdana"/>
          <w:caps w:val="true"/>
          <w:color w:val="auto"/>
          <w:spacing w:val="10"/>
          <w:position w:val="-1"/>
          <w:sz w:val="21"/>
          <w:shd w:fill="auto" w:val="clear"/>
        </w:rPr>
      </w:pPr>
      <w:r>
        <w:rPr>
          <w:rFonts w:ascii="Verdana" w:hAnsi="Verdana" w:cs="Verdana" w:eastAsia="Verdana"/>
          <w:caps w:val="true"/>
          <w:color w:val="auto"/>
          <w:spacing w:val="10"/>
          <w:position w:val="-1"/>
          <w:sz w:val="21"/>
          <w:shd w:fill="auto" w:val="clear"/>
        </w:rPr>
        <w:t xml:space="preserve">EXPERIÊNCIA PROFISSIONAL</w:t>
      </w:r>
    </w:p>
    <w:p>
      <w:pPr>
        <w:suppressAutoHyphens w:val="true"/>
        <w:spacing w:before="200" w:after="0" w:line="240"/>
        <w:ind w:right="0" w:left="0" w:hanging="2"/>
        <w:jc w:val="left"/>
        <w:rPr>
          <w:rFonts w:ascii="Verdana" w:hAnsi="Verdana" w:cs="Verdana" w:eastAsia="Verdana"/>
          <w:caps w:val="true"/>
          <w:color w:val="auto"/>
          <w:spacing w:val="10"/>
          <w:position w:val="-1"/>
          <w:sz w:val="22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-1"/>
          <w:sz w:val="22"/>
          <w:shd w:fill="auto" w:val="clear"/>
        </w:rPr>
      </w:pPr>
    </w:p>
    <w:p>
      <w:pPr>
        <w:numPr>
          <w:ilvl w:val="0"/>
          <w:numId w:val="11"/>
        </w:numPr>
        <w:spacing w:before="0" w:after="120" w:line="240"/>
        <w:ind w:right="0" w:left="720" w:hanging="360"/>
        <w:jc w:val="left"/>
        <w:rPr>
          <w:rFonts w:ascii="Century Schoolbook" w:hAnsi="Century Schoolbook" w:cs="Century Schoolbook" w:eastAsia="Century Schoolbook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Outubro/2016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 Junho/2017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 GDAX Telecomunica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ções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    Cargo: Atendente de Telemarketing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Atendimento Telef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ônico Ativo e Receptivo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"/>
        </w:numPr>
        <w:spacing w:before="0" w:after="120" w:line="240"/>
        <w:ind w:right="0" w:left="720" w:hanging="360"/>
        <w:jc w:val="left"/>
        <w:rPr>
          <w:rFonts w:ascii="Century Schoolbook" w:hAnsi="Century Schoolbook" w:cs="Century Schoolbook" w:eastAsia="Century Schoolbook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Junho/2017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 Mar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ço/2018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 GDAX Telecomunica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ções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    Cargo: Assistente Operacional - Gestão de vendas e monitorização da equipe.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5"/>
        </w:numPr>
        <w:spacing w:before="0" w:after="12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Setembro/2018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 Fevereiro/2019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 Pronto Atendimento Vitallis Centro</w:t>
      </w:r>
    </w:p>
    <w:p>
      <w:pPr>
        <w:spacing w:before="0" w:after="120" w:line="240"/>
        <w:ind w:right="0" w:left="36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Cargo: Técnica de Enfermagem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Diurno 12x36</w:t>
      </w:r>
    </w:p>
    <w:p>
      <w:pPr>
        <w:suppressAutoHyphens w:val="true"/>
        <w:spacing w:before="200" w:after="0" w:line="360"/>
        <w:ind w:right="0" w:left="0" w:firstLine="0"/>
        <w:jc w:val="left"/>
        <w:rPr>
          <w:rFonts w:ascii="Verdana" w:hAnsi="Verdana" w:cs="Verdana" w:eastAsia="Verdana"/>
          <w:caps w:val="true"/>
          <w:color w:val="auto"/>
          <w:spacing w:val="10"/>
          <w:position w:val="-1"/>
          <w:sz w:val="22"/>
          <w:shd w:fill="auto" w:val="clear"/>
        </w:rPr>
      </w:pPr>
    </w:p>
    <w:p>
      <w:pPr>
        <w:suppressAutoHyphens w:val="true"/>
        <w:spacing w:before="200" w:after="0" w:line="360"/>
        <w:ind w:right="0" w:left="0" w:hanging="2"/>
        <w:jc w:val="left"/>
        <w:rPr>
          <w:rFonts w:ascii="Verdana" w:hAnsi="Verdana" w:cs="Verdana" w:eastAsia="Verdana"/>
          <w:caps w:val="true"/>
          <w:color w:val="auto"/>
          <w:spacing w:val="10"/>
          <w:position w:val="-1"/>
          <w:sz w:val="21"/>
          <w:shd w:fill="auto" w:val="clear"/>
        </w:rPr>
      </w:pPr>
      <w:r>
        <w:rPr>
          <w:rFonts w:ascii="Verdana" w:hAnsi="Verdana" w:cs="Verdana" w:eastAsia="Verdana"/>
          <w:caps w:val="true"/>
          <w:color w:val="auto"/>
          <w:spacing w:val="10"/>
          <w:position w:val="-1"/>
          <w:sz w:val="21"/>
          <w:shd w:fill="auto" w:val="clear"/>
        </w:rPr>
        <w:t xml:space="preserve">qualificações e atividades complementares</w:t>
      </w:r>
    </w:p>
    <w:p>
      <w:pPr>
        <w:suppressAutoHyphens w:val="true"/>
        <w:spacing w:before="200" w:after="0" w:line="240"/>
        <w:ind w:right="0" w:left="0" w:hanging="2"/>
        <w:jc w:val="left"/>
        <w:rPr>
          <w:rFonts w:ascii="Verdana" w:hAnsi="Verdana" w:cs="Verdana" w:eastAsia="Verdana"/>
          <w:caps w:val="true"/>
          <w:color w:val="auto"/>
          <w:spacing w:val="10"/>
          <w:position w:val="-1"/>
          <w:sz w:val="22"/>
          <w:shd w:fill="auto" w:val="clear"/>
        </w:rPr>
      </w:pPr>
      <w:r>
        <w:rPr>
          <w:rFonts w:ascii="Verdana" w:hAnsi="Verdana" w:cs="Verdana" w:eastAsia="Verdana"/>
          <w:caps w:val="true"/>
          <w:color w:val="auto"/>
          <w:spacing w:val="10"/>
          <w:position w:val="-1"/>
          <w:sz w:val="22"/>
          <w:shd w:fill="auto" w:val="clear"/>
        </w:rPr>
        <w:br/>
      </w:r>
    </w:p>
    <w:p>
      <w:pPr>
        <w:numPr>
          <w:ilvl w:val="0"/>
          <w:numId w:val="20"/>
        </w:numPr>
        <w:spacing w:before="0" w:after="120" w:line="240"/>
        <w:ind w:right="0" w:left="720" w:hanging="360"/>
        <w:jc w:val="left"/>
        <w:rPr>
          <w:rFonts w:ascii="Century Schoolbook" w:hAnsi="Century Schoolbook" w:cs="Century Schoolbook" w:eastAsia="Century Schoolbook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Informática Básica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Word, Excel, Power Point, Digita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ção. </w:t>
      </w:r>
      <w:r>
        <w:object w:dxaOrig="8568" w:dyaOrig="19">
          <v:rect xmlns:o="urn:schemas-microsoft-com:office:office" xmlns:v="urn:schemas-microsoft-com:vml" id="rectole0000000000" style="width:428.400000pt;height:0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        (CNI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Centro de forma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ção profissional, 9 MESES, Concluído em 2013)</w:t>
      </w:r>
      <w:r>
        <w:rPr>
          <w:rFonts w:ascii="Libre Baskerville" w:hAnsi="Libre Baskerville" w:cs="Libre Baskerville" w:eastAsia="Libre Baskerville"/>
          <w:color w:val="auto"/>
          <w:spacing w:val="0"/>
          <w:position w:val="0"/>
          <w:sz w:val="22"/>
          <w:shd w:fill="auto" w:val="clear"/>
        </w:rPr>
        <w:br/>
      </w:r>
    </w:p>
    <w:p>
      <w:pPr>
        <w:numPr>
          <w:ilvl w:val="0"/>
          <w:numId w:val="22"/>
        </w:numPr>
        <w:spacing w:before="0" w:after="12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Treinamento de TIME de respostas rápida - Carga Horária de 3 dias (6 horas)          Teoria e Prática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Bancker Treinamentos.</w:t>
      </w: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6">
    <w:abstractNumId w:val="30"/>
  </w:num>
  <w:num w:numId="11">
    <w:abstractNumId w:val="24"/>
  </w:num>
  <w:num w:numId="13">
    <w:abstractNumId w:val="18"/>
  </w:num>
  <w:num w:numId="15">
    <w:abstractNumId w:val="12"/>
  </w:num>
  <w:num w:numId="20">
    <w:abstractNumId w:val="6"/>
  </w:num>
  <w:num w:numId="2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