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tabs>
          <w:tab w:val="left" w:pos="5730"/>
          <w:tab w:val="right" w:pos="9923"/>
        </w:tabs>
        <w:ind w:left="720" w:right="142" w:hanging="360"/>
        <w:contextualSpacing w:val="1"/>
        <w:jc w:val="both"/>
        <w:rPr>
          <w:b w:val="1"/>
          <w:u w:val="none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44"/>
          <w:szCs w:val="44"/>
          <w:vertAlign w:val="baseline"/>
          <w:rtl w:val="0"/>
        </w:rPr>
        <w:t xml:space="preserve">  </w:t>
      </w: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32"/>
          <w:szCs w:val="32"/>
          <w:vertAlign w:val="baseline"/>
          <w:rtl w:val="0"/>
        </w:rPr>
        <w:t xml:space="preserve">Marilson de Paula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426"/>
        </w:tabs>
        <w:contextualSpacing w:val="0"/>
        <w:jc w:val="both"/>
        <w:rPr>
          <w:rFonts w:ascii="Arial Black" w:cs="Arial Black" w:eastAsia="Arial Black" w:hAnsi="Arial Black"/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                                             e-mail:marilson2609@yahoo.com.br</w:t>
      </w: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426"/>
        </w:tabs>
        <w:contextualSpacing w:val="0"/>
        <w:jc w:val="both"/>
        <w:rPr>
          <w:rFonts w:ascii="Arial" w:cs="Arial" w:eastAsia="Arial" w:hAnsi="Arial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32"/>
          <w:szCs w:val="32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1407795</wp:posOffset>
                </wp:positionH>
                <wp:positionV relativeFrom="paragraph">
                  <wp:posOffset>109220</wp:posOffset>
                </wp:positionV>
                <wp:extent cx="3181350" cy="6350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6350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ED3807" w:rsidRDefault="00000000" w:rsidRPr="00000000">
                            <w:pPr>
                              <w:pStyle w:val="Normal"/>
                              <w:tabs>
                                <w:tab w:val="left" w:leader="none" w:pos="1500"/>
                                <w:tab w:val="right" w:leader="none" w:pos="14033"/>
                              </w:tabs>
                              <w:suppressAutoHyphens w:val="1"/>
                              <w:spacing w:line="1" w:lineRule="atLeast"/>
                              <w:ind w:right="-28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b w:val="0"/>
                                <w:i w:val="0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</w:pPr>
                            <w:r w:rsidDel="000000-1" w:rsidR="11156480" w:rsidRPr="08404275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Rua </w:t>
                            </w:r>
                            <w:r w:rsidDel="000000-1" w:rsidR="13510912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>Perimetral</w:t>
                            </w:r>
                            <w:r w:rsidDel="000000-1" w:rsidR="15822037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, </w:t>
                            </w:r>
                            <w:r w:rsidDel="000000-1" w:rsidR="13510912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>178, bloco 27, apto 203</w:t>
                            </w:r>
                            <w:r w:rsidDel="000000-1" w:rsidR="15822037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 </w:t>
                            </w:r>
                            <w:r w:rsidDel="000000-1" w:rsidR="13510912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   Prado </w:t>
                            </w:r>
                            <w:r w:rsidDel="000000-1" w:rsidR="15822037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> -</w:t>
                            </w:r>
                            <w:r w:rsidDel="000000-1" w:rsidR="13510912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 Belo Horizonte </w:t>
                            </w:r>
                            <w:r w:rsidDel="000000-1" w:rsidR="15822037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>-Mg</w:t>
                            </w:r>
                            <w:r w:rsidDel="000000-1" w:rsidR="09506527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 </w:t>
                            </w:r>
                            <w:r w:rsidDel="000000-1" w:rsidR="15546375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>/ Cep:30410650</w:t>
                            </w:r>
                            <w:r w:rsidDel="000000-1" w:rsidR="09506527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</w:r>
                          </w:p>
                          <w:p w:rsidR="00000000" w:rsidDel="00000000" w:rsidP="00ED3807" w:rsidRDefault="00000000" w:rsidRPr="00000000">
                            <w:pPr>
                              <w:pStyle w:val="Normal"/>
                              <w:tabs>
                                <w:tab w:val="left" w:leader="none" w:pos="1500"/>
                                <w:tab w:val="right" w:leader="none" w:pos="14033"/>
                              </w:tabs>
                              <w:suppressAutoHyphens w:val="1"/>
                              <w:spacing w:line="1" w:lineRule="atLeast"/>
                              <w:ind w:right="-28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</w:pPr>
                            <w:r w:rsidDel="000000-1" w:rsidR="08876356" w:rsidRPr="000000-1">
                              <w:rPr>
                                <w:rFonts w:ascii="Arial" w:cs="Arial" w:hAnsi="Arial"/>
                                <w:b w:val="1"/>
                                <w:bCs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 </w:t>
                            </w:r>
                            <w:r w:rsidDel="000000-1" w:rsidR="15822037" w:rsidRPr="000000-1">
                              <w:rPr>
                                <w:rFonts w:ascii="Arial" w:cs="Arial" w:hAnsi="Arial"/>
                                <w:b w:val="1"/>
                                <w:bCs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>(31) 987288645</w:t>
                            </w:r>
                            <w:r w:rsidDel="000000-1" w:rsidR="08876356" w:rsidRPr="000000-1">
                              <w:rPr>
                                <w:rFonts w:ascii="Arial" w:cs="Arial" w:hAnsi="Arial"/>
                                <w:b w:val="1"/>
                                <w:bCs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>/975767696</w:t>
                            </w:r>
                            <w:r w:rsidDel="000000-1" w:rsidR="15822037" w:rsidRPr="000000-1">
                              <w:rPr>
                                <w:rFonts w:ascii="Arial" w:cs="Arial" w:hAnsi="Arial"/>
                                <w:b w:val="1"/>
                                <w:bCs w:val="1"/>
                                <w:i w:val="1"/>
                                <w:color w:val="00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  <w:t xml:space="preserve"> </w:t>
                            </w:r>
                            <w:r w:rsidDel="000000-1" w:rsidR="11156480" w:rsidRPr="11156480">
                              <w:rPr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 w:val="pt-BR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53883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1407795</wp:posOffset>
                </wp:positionH>
                <wp:positionV relativeFrom="paragraph">
                  <wp:posOffset>109220</wp:posOffset>
                </wp:positionV>
                <wp:extent cx="3181350" cy="635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63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pos="5730"/>
          <w:tab w:val="right" w:pos="9923"/>
        </w:tabs>
        <w:contextualSpacing w:val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730"/>
          <w:tab w:val="right" w:pos="9923"/>
        </w:tabs>
        <w:ind w:right="142"/>
        <w:contextualSpacing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Formação/Titulação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8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Pós Graduação Enfermagem em Cuidados Intensivos (Em Andamento);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8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Pós-graduação Enfermagem em Urgência Emergência e Atendimento Pré-Hospitalar: Centro Universitário Una- Belo Horizonte MG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Graduação em Enfermagem: Fundação Comunitária de Ensino Superior de Itabira Faculdade Itabirana de Saúde (Funcesi/ Fisa) - Itabira Minas Gerais.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Técnico em Enfermagem (Complementação): Sistema de Educação Profissional de Itabira (Sepro) Itabira Minas Gerais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Auxiliar de Enfermagem: Sistema de Educação Profissional de Itabira (Sepro) Itabira Minas Gerais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Experiência  Profissional: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contextualSpacing w:val="0"/>
        <w:jc w:val="both"/>
        <w:rPr>
          <w:b w:val="0"/>
          <w:u w:val="single"/>
        </w:rPr>
      </w:pPr>
      <w:r w:rsidDel="00000000" w:rsidR="00000000" w:rsidRPr="00000000">
        <w:rPr>
          <w:i w:val="1"/>
          <w:vertAlign w:val="baseline"/>
          <w:rtl w:val="0"/>
        </w:rPr>
        <w:t xml:space="preserve">Instrutor em Treinamentos de Urgência e Emergência e APH;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Pronto Socorro Municipal de Itabira desde 2003, iniciando as atividades como auxiliar e técnico de enfermagem e posteriormente enfermeiro supervisor;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Supervisor da Sala de Urgência,Semi-Intensiva e  Classificação de Risco (Protocolo de Manchester) do Pronto Socorro Municipal de Itabira;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 Responsável Técnico pela equipe de enfermagem do Pronto Socorro Municipal de Itabira no período de 10/05/2014 até 06/07/2016.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Remoções Pré-Hospitalar (UTI-Móvel) desde 10/06/22016 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contextualSpacing w:val="0"/>
        <w:jc w:val="both"/>
        <w:rPr>
          <w:b w:val="0"/>
          <w:u w:val="single"/>
        </w:rPr>
      </w:pPr>
      <w:r w:rsidDel="00000000" w:rsidR="00000000" w:rsidRPr="00000000">
        <w:rPr>
          <w:i w:val="1"/>
          <w:vertAlign w:val="baseline"/>
          <w:rtl w:val="0"/>
        </w:rPr>
        <w:t xml:space="preserve">Docente do Curso Técnico de Enfermagem Centro Educacional Roberto Porto (Polo Itabira) no período de 07/2017 até 03/2018.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Supervisor da Unidade de Internação do Hospital Nossa Senhora das Dores  10/07/2106 até 26/04/2018.</w:t>
      </w:r>
    </w:p>
    <w:p w:rsidR="00000000" w:rsidDel="00000000" w:rsidP="00000000" w:rsidRDefault="00000000" w:rsidRPr="00000000" w14:paraId="00000016">
      <w:pPr>
        <w:ind w:left="720"/>
        <w:contextualSpacing w:val="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Formação Complementar: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 Classificação de Risco Protocolo de Manchester: Núcleo de Educação a Distância / Canal Minas Saúde – Belo Horizonte - MG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Urgências Cínicas e Traumáticas – Prefeitura Municipal de Itabira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Curso: Políticas de Gestão de Pessoas – Insight Consultoria Empresarial. Itabira-MG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Curso: Desenvolvimento de Líderes – Insight Consultoria Empresarial. Itabira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Curso: ACLS Advanced Cardiac Life Support. SOMITI – BH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Curso: BLS  Advanced Cardiac Life Support. SOMITI – 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Curso: Dor torácica – Hospital Pró– Cardíaco - RJ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Curso: Capacitação do Teste Rápido Diagnóstico para HIV – Escola Saúde Pública Belo Horizonte-MG/ Novas Diretrizes de Reanimação Cardiopulmonar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contextualSpacing w:val="0"/>
        <w:jc w:val="both"/>
        <w:rPr>
          <w:i w:val="0"/>
        </w:rPr>
      </w:pPr>
      <w:r w:rsidDel="00000000" w:rsidR="00000000" w:rsidRPr="00000000">
        <w:rPr>
          <w:i w:val="1"/>
          <w:vertAlign w:val="baseline"/>
          <w:rtl w:val="0"/>
        </w:rPr>
        <w:t xml:space="preserve">Curso: Capacitação de interpretação de resultados de exames no pré-natal – Funcesi.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Belo Horizonte, 23/01/19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sectPr>
      <w:footerReference r:id="rId7" w:type="default"/>
      <w:pgSz w:h="16840" w:w="11907"/>
      <w:pgMar w:bottom="1134" w:top="1701" w:left="1134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Black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1"/>
        <w:tab w:val="right" w:pos="8503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31">
    <w:name w:val="style31"/>
    <w:next w:val="style31"/>
    <w:autoRedefine w:val="0"/>
    <w:hidden w:val="0"/>
    <w:qFormat w:val="0"/>
    <w:rPr>
      <w:rFonts w:ascii="Verdana" w:hAnsi="Verdana"/>
      <w:b w:val="0"/>
      <w:bCs w:val="0"/>
      <w:color w:val="000000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LineNumbers w:val="1"/>
      <w:tabs>
        <w:tab w:val="center" w:leader="none" w:pos="4251"/>
        <w:tab w:val="right" w:leader="none" w:pos="8503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table" w:styleId="Tabelaclássica1">
    <w:name w:val="Tabela clássica 1"/>
    <w:basedOn w:val="Tabelanormal"/>
    <w:next w:val="Tabelaclássica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lássica1"/>
      <w:jc w:val="left"/>
      <w:tblBorders>
        <w:top w:color="000000" w:space="0" w:sz="12" w:val="single"/>
        <w:left w:color="auto" w:space="0" w:sz="0" w:val="none"/>
        <w:bottom w:color="000000" w:space="0" w:sz="12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elaclássica3">
    <w:name w:val="Tabela clássica 3"/>
    <w:basedOn w:val="Tabelanormal"/>
    <w:next w:val="Tabelaclássica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80"/>
      <w:w w:val="100"/>
      <w:position w:val="-1"/>
      <w:effect w:val="none"/>
      <w:vertAlign w:val="baseline"/>
      <w:cs w:val="0"/>
      <w:em w:val="none"/>
      <w:lang/>
    </w:rPr>
    <w:tblPr>
      <w:tblStyle w:val="Tabelaclássica3"/>
      <w:jc w:val="left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auto" w:space="0" w:sz="0" w:val="none"/>
        <w:insideV w:color="auto" w:space="0" w:sz="0" w:val="non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