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40"/>
          <w:shd w:fill="auto" w:val="clear"/>
        </w:rPr>
        <w:t xml:space="preserve">Zania Andrade Pinheiro</w:t>
      </w:r>
    </w:p>
    <w:p>
      <w:pPr>
        <w:spacing w:before="0" w:after="0" w:line="36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Rua Júpiter,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400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, Campos Elíseos, Betim, MG</w:t>
      </w:r>
    </w:p>
    <w:p>
      <w:pPr>
        <w:spacing w:before="0" w:after="0" w:line="36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31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) </w:t>
      </w: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9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98172766 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zaniaandrade@yahoo.com.br</w:t>
      </w:r>
    </w:p>
    <w:p>
      <w:pPr>
        <w:spacing w:before="0" w:after="0" w:line="36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18"/>
          <w:shd w:fill="auto" w:val="clear"/>
        </w:rPr>
        <w:t xml:space="preserve">                                                             40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auto" w:val="clear"/>
        </w:rPr>
        <w:t xml:space="preserve">anos  Brasileira  casada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312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18"/>
          <w:shd w:fill="auto" w:val="clear"/>
        </w:rPr>
        <w:t xml:space="preserve">Área de atuação: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8"/>
          <w:shd w:fill="auto" w:val="clear"/>
        </w:rPr>
        <w:t xml:space="preserve"> ENFRMAGEM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Perfil Profissional</w:t>
      </w:r>
    </w:p>
    <w:p>
      <w:pPr>
        <w:numPr>
          <w:ilvl w:val="0"/>
          <w:numId w:val="7"/>
        </w:numPr>
        <w:bidi w:val="true"/>
        <w:spacing w:before="0" w:after="0" w:line="240"/>
        <w:ind w:right="0" w:left="720" w:hanging="36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Prestação de serviço</w:t>
      </w: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com foco em qualidade, humanização e excelência no atendimento</w:t>
      </w: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;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Experiência no cuidado do paciente na clínica médica</w:t>
      </w:r>
      <w:r>
        <w:rPr>
          <w:rFonts w:ascii="Tahoma" w:hAnsi="Tahoma" w:cs="Tahoma" w:eastAsia="Tahoma"/>
          <w:color w:val="000000"/>
          <w:spacing w:val="-3"/>
          <w:position w:val="0"/>
          <w:sz w:val="20"/>
          <w:shd w:fill="auto" w:val="clear"/>
        </w:rPr>
        <w:t xml:space="preserve"> e home care;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Prática em informática;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Facilidade de adaptação;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Comprometimento;</w:t>
      </w: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Habilitação: categoria B.</w:t>
      </w:r>
    </w:p>
    <w:p>
      <w:pPr>
        <w:tabs>
          <w:tab w:val="left" w:pos="360" w:leader="none"/>
        </w:tabs>
        <w:spacing w:before="0" w:after="0" w:line="312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Formação Acadêmica</w:t>
      </w:r>
    </w:p>
    <w:p>
      <w:pPr>
        <w:spacing w:before="0" w:after="0" w:line="336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</w:p>
    <w:p>
      <w:pPr>
        <w:spacing w:before="0" w:after="0" w:line="336"/>
        <w:ind w:right="0" w:left="0" w:firstLine="0"/>
        <w:jc w:val="both"/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Graduada em </w:t>
      </w:r>
      <w:r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  <w:t xml:space="preserve">Enfermagem</w:t>
      </w:r>
      <w:r>
        <w:rPr>
          <w:rFonts w:ascii="Tahoma" w:hAnsi="Tahoma" w:cs="Tahoma" w:eastAsia="Tahoma"/>
          <w:color w:val="auto"/>
          <w:spacing w:val="-3"/>
          <w:position w:val="0"/>
          <w:sz w:val="20"/>
          <w:shd w:fill="auto" w:val="clear"/>
        </w:rPr>
        <w:t xml:space="preserve"> pela </w:t>
      </w:r>
      <w:r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  <w:t xml:space="preserve">PUC Minas</w:t>
      </w:r>
    </w:p>
    <w:p>
      <w:pPr>
        <w:spacing w:before="0" w:after="0" w:line="312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36"/>
        <w:ind w:right="0" w:left="0" w:firstLine="0"/>
        <w:jc w:val="both"/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  <w:t xml:space="preserve">Experiência profissional</w:t>
      </w:r>
    </w:p>
    <w:p>
      <w:pPr>
        <w:spacing w:before="0" w:after="0" w:line="336"/>
        <w:ind w:right="0" w:left="0" w:firstLine="0"/>
        <w:jc w:val="both"/>
        <w:rPr>
          <w:rFonts w:ascii="Tahoma" w:hAnsi="Tahoma" w:cs="Tahoma" w:eastAsia="Tahoma"/>
          <w:b/>
          <w:color w:val="auto"/>
          <w:spacing w:val="-3"/>
          <w:position w:val="0"/>
          <w:sz w:val="20"/>
          <w:shd w:fill="auto" w:val="clear"/>
        </w:rPr>
      </w:pPr>
    </w:p>
    <w:tbl>
      <w:tblPr/>
      <w:tblGrid>
        <w:gridCol w:w="1989"/>
        <w:gridCol w:w="6515"/>
      </w:tblGrid>
      <w:tr>
        <w:trPr>
          <w:trHeight w:val="3533" w:hRule="auto"/>
          <w:jc w:val="left"/>
        </w:trPr>
        <w:tc>
          <w:tcPr>
            <w:tcW w:w="19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Empresa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Cargo: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Período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Principais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Atividades:</w:t>
            </w:r>
          </w:p>
        </w:tc>
        <w:tc>
          <w:tcPr>
            <w:tcW w:w="65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Raal home Care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Enfermeira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De </w:t>
            </w:r>
            <w:r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  <w:t xml:space="preserve">05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2015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03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Atendimento em internação domiciliar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Acompanhamento de paciente crônico;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Manuseio de traqueostomia;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Manuseio de gastrostomia; 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Curativo em úlcera de pressão;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Passagem de sonda de demora e de alívio;</w:t>
            </w:r>
          </w:p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  <w:t xml:space="preserve">Pacientes em cuidados paliativos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163" w:hRule="auto"/>
          <w:jc w:val="left"/>
        </w:trPr>
        <w:tc>
          <w:tcPr>
            <w:tcW w:w="19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Empresa: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Cargo: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Período: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Principais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Atividades:</w:t>
            </w:r>
          </w:p>
        </w:tc>
        <w:tc>
          <w:tcPr>
            <w:tcW w:w="65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Nescon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Núcleo de Pesquisa da Escola de Medicina da UFMG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Auditoria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05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2012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2012</w:t>
            </w:r>
          </w:p>
          <w:p>
            <w:pPr>
              <w:spacing w:before="0" w:after="0" w:line="240"/>
              <w:ind w:right="0" w:left="72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Controle de qualidade;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Supervisão de equipe em pesquisa da saúde;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Coleta de dados;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Transmissão de dados;</w:t>
            </w:r>
          </w:p>
          <w:p>
            <w:pPr>
              <w:numPr>
                <w:ilvl w:val="0"/>
                <w:numId w:val="2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Controle de amostras.</w:t>
            </w:r>
          </w:p>
        </w:tc>
      </w:tr>
      <w:tr>
        <w:trPr>
          <w:trHeight w:val="1562" w:hRule="auto"/>
          <w:jc w:val="left"/>
        </w:trPr>
        <w:tc>
          <w:tcPr>
            <w:tcW w:w="19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Empresa: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Cargo: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Período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Principais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Atividades</w:t>
            </w:r>
          </w:p>
        </w:tc>
        <w:tc>
          <w:tcPr>
            <w:tcW w:w="651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Ceper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Empresa de pesquisa de mercado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Coordenadora de campo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01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1998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 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2007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Coordenação de pesquisa de campo;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Supervisão de equipe;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Verificação de pesquisa;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Aplicação de questionário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" w:hAnsi="Times" w:cs="Times" w:eastAsia="Times"/>
                <w:color w:val="auto"/>
                <w:spacing w:val="0"/>
                <w:position w:val="0"/>
                <w:sz w:val="20"/>
                <w:shd w:fill="auto" w:val="clear"/>
              </w:rPr>
              <w:t xml:space="preserve">Treinamento de pessoal.</w:t>
            </w:r>
          </w:p>
        </w:tc>
      </w:tr>
    </w:tbl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shd w:fill="auto" w:val="clear"/>
        </w:rPr>
        <w:t xml:space="preserve">Cursos Complementares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both"/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  <w:t xml:space="preserve">I Ciclo de Estudos Crack e outras Drogas –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Escola de Enfermagem da UFMG/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2013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  <w:t xml:space="preserve">Multiplicadores do Movimento BH Pelo Parto Normal –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 promovido pela parceria entre UFMG e Prefeitura de Belo Horizonte/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2013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  <w:t xml:space="preserve">Curso Prevenção do Uso de Drogas – 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Capacitação para conselheiros e lideranças comunitárias- 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5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° edição. Promovido pela PROEX- UFSC/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2013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  <w:t xml:space="preserve">Cuidador de Idoso –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 SESC/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2014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0"/>
        </w:numPr>
        <w:suppressAutoHyphens w:val="true"/>
        <w:spacing w:before="0" w:after="0" w:line="240"/>
        <w:ind w:right="0" w:left="720" w:hanging="36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b/>
          <w:color w:val="auto"/>
          <w:spacing w:val="0"/>
          <w:position w:val="0"/>
          <w:sz w:val="20"/>
          <w:shd w:fill="auto" w:val="clear"/>
        </w:rPr>
        <w:t xml:space="preserve">Informática Básica –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 SESC/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2014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Estrangelo Edessa" w:hAnsi="Estrangelo Edessa" w:cs="Estrangelo Edessa" w:eastAsia="Estrangelo Edessa"/>
          <w:color w:val="FF0000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2319" w:leader="none"/>
        </w:tabs>
        <w:spacing w:before="0" w:after="0" w:line="312"/>
        <w:ind w:right="0" w:left="357" w:hanging="357"/>
        <w:jc w:val="both"/>
        <w:rPr>
          <w:rFonts w:ascii="Estrangelo Edessa" w:hAnsi="Estrangelo Edessa" w:cs="Estrangelo Edessa" w:eastAsia="Estrangelo Edessa"/>
          <w:color w:val="FF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6">
    <w:abstractNumId w:val="18"/>
  </w:num>
  <w:num w:numId="22">
    <w:abstractNumId w:val="12"/>
  </w:num>
  <w:num w:numId="26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